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84" w:type="dxa"/>
        <w:tblLayout w:type="fixed"/>
        <w:tblLook w:val="04A0" w:firstRow="1" w:lastRow="0" w:firstColumn="1" w:lastColumn="0" w:noHBand="0" w:noVBand="1"/>
      </w:tblPr>
      <w:tblGrid>
        <w:gridCol w:w="558"/>
        <w:gridCol w:w="990"/>
        <w:gridCol w:w="1046"/>
        <w:gridCol w:w="900"/>
        <w:gridCol w:w="701"/>
        <w:gridCol w:w="5689"/>
      </w:tblGrid>
      <w:tr w:rsidR="00D94799" w:rsidRPr="00632F77" w:rsidTr="00D94799">
        <w:tc>
          <w:tcPr>
            <w:tcW w:w="558" w:type="dxa"/>
          </w:tcPr>
          <w:p w:rsidR="00D94799" w:rsidRPr="00632F77" w:rsidRDefault="00D94799" w:rsidP="00F3643F">
            <w:pPr>
              <w:rPr>
                <w:rFonts w:ascii="Century Gothic" w:hAnsi="Century Gothic" w:cs="Arial"/>
                <w:b/>
                <w:sz w:val="16"/>
                <w:szCs w:val="16"/>
              </w:rPr>
            </w:pPr>
            <w:bookmarkStart w:id="0" w:name="_GoBack"/>
            <w:bookmarkEnd w:id="0"/>
            <w:r w:rsidRPr="00632F77">
              <w:rPr>
                <w:rFonts w:ascii="Century Gothic" w:hAnsi="Century Gothic" w:cs="Arial"/>
                <w:b/>
                <w:sz w:val="16"/>
                <w:szCs w:val="16"/>
              </w:rPr>
              <w:t>No</w:t>
            </w:r>
          </w:p>
        </w:tc>
        <w:tc>
          <w:tcPr>
            <w:tcW w:w="990" w:type="dxa"/>
          </w:tcPr>
          <w:p w:rsidR="00D94799" w:rsidRPr="00632F77" w:rsidRDefault="00D94799" w:rsidP="00F3643F">
            <w:pPr>
              <w:rPr>
                <w:rFonts w:ascii="Century Gothic" w:hAnsi="Century Gothic" w:cs="Arial"/>
                <w:b/>
                <w:sz w:val="16"/>
                <w:szCs w:val="16"/>
              </w:rPr>
            </w:pPr>
            <w:r w:rsidRPr="00632F77">
              <w:rPr>
                <w:rFonts w:ascii="Century Gothic" w:hAnsi="Century Gothic" w:cs="Arial"/>
                <w:b/>
                <w:sz w:val="16"/>
                <w:szCs w:val="16"/>
              </w:rPr>
              <w:t xml:space="preserve">Kode </w:t>
            </w:r>
          </w:p>
        </w:tc>
        <w:tc>
          <w:tcPr>
            <w:tcW w:w="1046" w:type="dxa"/>
          </w:tcPr>
          <w:p w:rsidR="00D94799" w:rsidRPr="00632F77" w:rsidRDefault="00D94799" w:rsidP="00F3643F">
            <w:pPr>
              <w:rPr>
                <w:rFonts w:ascii="Century Gothic" w:hAnsi="Century Gothic" w:cs="Arial"/>
                <w:b/>
                <w:sz w:val="16"/>
                <w:szCs w:val="16"/>
              </w:rPr>
            </w:pPr>
            <w:r w:rsidRPr="00632F77">
              <w:rPr>
                <w:rFonts w:ascii="Century Gothic" w:hAnsi="Century Gothic" w:cs="Arial"/>
                <w:b/>
                <w:sz w:val="16"/>
                <w:szCs w:val="16"/>
              </w:rPr>
              <w:t>Nama Mata Kuliah</w:t>
            </w:r>
          </w:p>
        </w:tc>
        <w:tc>
          <w:tcPr>
            <w:tcW w:w="900" w:type="dxa"/>
          </w:tcPr>
          <w:p w:rsidR="00D94799" w:rsidRPr="00632F77" w:rsidRDefault="00D94799" w:rsidP="00F3643F">
            <w:pPr>
              <w:rPr>
                <w:rFonts w:ascii="Century Gothic" w:hAnsi="Century Gothic" w:cs="Arial"/>
                <w:b/>
                <w:sz w:val="16"/>
                <w:szCs w:val="16"/>
              </w:rPr>
            </w:pPr>
            <w:r w:rsidRPr="00632F77">
              <w:rPr>
                <w:rFonts w:ascii="Century Gothic" w:hAnsi="Century Gothic" w:cs="Arial"/>
                <w:b/>
                <w:sz w:val="16"/>
                <w:szCs w:val="16"/>
              </w:rPr>
              <w:t>SKS</w:t>
            </w:r>
          </w:p>
        </w:tc>
        <w:tc>
          <w:tcPr>
            <w:tcW w:w="701" w:type="dxa"/>
          </w:tcPr>
          <w:p w:rsidR="00D94799" w:rsidRPr="00632F77" w:rsidRDefault="00D94799" w:rsidP="00F3643F">
            <w:pPr>
              <w:rPr>
                <w:rFonts w:ascii="Century Gothic" w:hAnsi="Century Gothic" w:cs="Arial"/>
                <w:b/>
                <w:sz w:val="16"/>
                <w:szCs w:val="16"/>
              </w:rPr>
            </w:pPr>
            <w:r w:rsidRPr="00632F77">
              <w:rPr>
                <w:rFonts w:ascii="Century Gothic" w:hAnsi="Century Gothic" w:cs="Arial"/>
                <w:b/>
                <w:sz w:val="16"/>
                <w:szCs w:val="16"/>
              </w:rPr>
              <w:t>Sem</w:t>
            </w:r>
            <w:r>
              <w:rPr>
                <w:rFonts w:ascii="Century Gothic" w:hAnsi="Century Gothic" w:cs="Arial"/>
                <w:b/>
                <w:sz w:val="16"/>
                <w:szCs w:val="16"/>
              </w:rPr>
              <w:t>-</w:t>
            </w:r>
            <w:r w:rsidRPr="00632F77">
              <w:rPr>
                <w:rFonts w:ascii="Century Gothic" w:hAnsi="Century Gothic" w:cs="Arial"/>
                <w:b/>
                <w:sz w:val="16"/>
                <w:szCs w:val="16"/>
              </w:rPr>
              <w:t>ester</w:t>
            </w:r>
          </w:p>
        </w:tc>
        <w:tc>
          <w:tcPr>
            <w:tcW w:w="5689" w:type="dxa"/>
          </w:tcPr>
          <w:p w:rsidR="00D94799" w:rsidRPr="00632F77" w:rsidRDefault="00D94799" w:rsidP="00F3643F">
            <w:pPr>
              <w:rPr>
                <w:rFonts w:ascii="Century Gothic" w:hAnsi="Century Gothic" w:cs="Arial"/>
                <w:b/>
                <w:sz w:val="16"/>
                <w:szCs w:val="16"/>
              </w:rPr>
            </w:pPr>
            <w:r w:rsidRPr="00632F77">
              <w:rPr>
                <w:rFonts w:ascii="Century Gothic" w:hAnsi="Century Gothic" w:cs="Arial"/>
                <w:b/>
                <w:sz w:val="16"/>
                <w:szCs w:val="16"/>
              </w:rPr>
              <w:t>Deskripsi Mata Kuliah</w:t>
            </w:r>
          </w:p>
        </w:tc>
      </w:tr>
      <w:tr w:rsidR="00D94799" w:rsidRPr="00632F77" w:rsidTr="00D94799">
        <w:tc>
          <w:tcPr>
            <w:tcW w:w="558"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t>1</w:t>
            </w:r>
          </w:p>
        </w:tc>
        <w:tc>
          <w:tcPr>
            <w:tcW w:w="990"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t>GNR 101</w:t>
            </w:r>
          </w:p>
        </w:tc>
        <w:tc>
          <w:tcPr>
            <w:tcW w:w="1046"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t>Bahasa Indonesia</w:t>
            </w:r>
          </w:p>
        </w:tc>
        <w:tc>
          <w:tcPr>
            <w:tcW w:w="900"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t>2</w:t>
            </w:r>
          </w:p>
        </w:tc>
        <w:tc>
          <w:tcPr>
            <w:tcW w:w="701"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t>1</w:t>
            </w:r>
          </w:p>
        </w:tc>
        <w:tc>
          <w:tcPr>
            <w:tcW w:w="5689" w:type="dxa"/>
          </w:tcPr>
          <w:p w:rsidR="00D94799" w:rsidRPr="00632F77" w:rsidRDefault="00D94799" w:rsidP="00F3643F">
            <w:pPr>
              <w:shd w:val="clear" w:color="auto" w:fill="FFFFFF"/>
              <w:spacing w:after="150"/>
              <w:textAlignment w:val="baseline"/>
              <w:rPr>
                <w:rFonts w:ascii="Century Gothic" w:eastAsia="Times New Roman" w:hAnsi="Century Gothic" w:cs="Arial"/>
                <w:sz w:val="16"/>
                <w:szCs w:val="16"/>
              </w:rPr>
            </w:pPr>
            <w:r w:rsidRPr="00632F77">
              <w:rPr>
                <w:rFonts w:ascii="Century Gothic" w:eastAsia="Times New Roman" w:hAnsi="Century Gothic" w:cs="Arial"/>
                <w:sz w:val="16"/>
                <w:szCs w:val="16"/>
              </w:rPr>
              <w:t>Mata kuliah ini memberikan bekal kecakapan membaca dengan cara mengasah keterampilan membaca dan menarik intisari dari berbagai jenis bacaan, mulai dari susastra, artikel media sampai jurnal limiah. Selain itu, mahasiswa juga berlatih mengekspresikan diri dan menyusun argumentasi terkait isi bacaan sampai mengomposisi pikiran dalam bentuk. Hal ini dilanjutkan ke dalam berbagai materi yang bertujuan memahirkan mahasiswa dalam menulis karya ilmiah seperti makalah dan laporan serta skripsi. Materi yang disajikan berkisar pada konsep-konsep berpikir kritis dan konvensi-konvensi penulisan ilmiah. Dalam aktivitas perkuliahan, mahasiswa menelaah berbagai studi kasus yang diambil dari media massa untuk melakukan analisa berdasarkan logika dan konsep berpikir kritis. Selain itu, mahasiswa juga mendapatkan pembimbingan untuk mengartikulasikan gagasan dan pemikiran mereka dalam format penulisan yang sesuai dengan kaidah akademik. Tak hanya itu, mahasiswa juga mendapatkan arahan tentang apa itu plagiarisme dan apresiasi terhadap buah pemikiran dan karya akademik. Setelah mengikuti matakuliah ini, diharapkan mahasiswa mampu menyusun sebuah karya ilmiah yang sesuai dengan standar penulisan karya ilmiah. Kemampuan ini diharapkan dapat terus dibaca dalam kehidupan kerja mereka nantinya.</w:t>
            </w:r>
          </w:p>
        </w:tc>
      </w:tr>
      <w:tr w:rsidR="00D94799" w:rsidRPr="00632F77" w:rsidTr="00D94799">
        <w:tc>
          <w:tcPr>
            <w:tcW w:w="558"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t>2</w:t>
            </w:r>
          </w:p>
        </w:tc>
        <w:tc>
          <w:tcPr>
            <w:tcW w:w="990"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t>GNR 103</w:t>
            </w:r>
          </w:p>
        </w:tc>
        <w:tc>
          <w:tcPr>
            <w:tcW w:w="1046"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t>Bahasa Inggris</w:t>
            </w:r>
          </w:p>
        </w:tc>
        <w:tc>
          <w:tcPr>
            <w:tcW w:w="900"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t>2</w:t>
            </w:r>
          </w:p>
        </w:tc>
        <w:tc>
          <w:tcPr>
            <w:tcW w:w="701"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t>1</w:t>
            </w:r>
          </w:p>
        </w:tc>
        <w:tc>
          <w:tcPr>
            <w:tcW w:w="5689" w:type="dxa"/>
          </w:tcPr>
          <w:p w:rsidR="00D94799" w:rsidRPr="00632F77" w:rsidRDefault="00D94799" w:rsidP="00F3643F">
            <w:pPr>
              <w:shd w:val="clear" w:color="auto" w:fill="FFFFFF"/>
              <w:spacing w:after="150"/>
              <w:textAlignment w:val="baseline"/>
              <w:rPr>
                <w:rFonts w:ascii="Century Gothic" w:eastAsia="Times New Roman" w:hAnsi="Century Gothic" w:cs="Arial"/>
                <w:sz w:val="16"/>
                <w:szCs w:val="16"/>
              </w:rPr>
            </w:pPr>
            <w:r w:rsidRPr="00632F77">
              <w:rPr>
                <w:rFonts w:ascii="Century Gothic" w:eastAsia="Times New Roman" w:hAnsi="Century Gothic" w:cs="Arial"/>
                <w:sz w:val="16"/>
                <w:szCs w:val="16"/>
              </w:rPr>
              <w:t>Mata kuliah ini mengasah kemampuan berbahasa Inggris sebagai bahasa asing (English as a Foreign Language). Di dalam perkuliahan, mahasiswa melatih kemampuan untuk mengungkapkan pendapat tentang masyarakat serta situasi terkini, mendengarkan dan menyimak berbagai wawancara dan pemberitaan media masa juga menyusun proyek kelompok secara bersama-sama dengan mengasah kerjasama dalam tim. Melalui mata kuliah ini, mahasiswa diharapkan mampu berperan menjadi anggota dunia global, terutama dalam konteks Masyarakat Ekonomi ASEAN. Hal ini tidak melupakan faktor mengembangkan dan meningkatkan rasa percaya diri mahasiswa untuk menggunakan Bahasa Inggris di dalam situasi akademik, kerja dan bisnis. Melalui analisis terhadap isu-isu lokal dan global yang terjadi saat ini dan mahasiswa diharapkan berdiskusi serta menuliskan esai pribadi tentang isu-isu terpilih tersebut. Dalam mata kuliah ini, mahasiswa juga diperkenalkan pada penggunaan Bahasa Inggris untuk kebutuhan bisnis, termasuk di antaranya menyusun rencana bisnis dan memberikan presentasi bisnis. Dalam seluruh aktivitas dalam kelas, mahasiswa diharapkan dapat menggunakan Bahasa Inggris secara tepat.</w:t>
            </w:r>
          </w:p>
        </w:tc>
      </w:tr>
      <w:tr w:rsidR="00D94799" w:rsidRPr="00632F77" w:rsidTr="00D94799">
        <w:tc>
          <w:tcPr>
            <w:tcW w:w="558"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t>3</w:t>
            </w:r>
          </w:p>
        </w:tc>
        <w:tc>
          <w:tcPr>
            <w:tcW w:w="990"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t>GNR 105</w:t>
            </w:r>
          </w:p>
        </w:tc>
        <w:tc>
          <w:tcPr>
            <w:tcW w:w="1046"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t>Dasar Logika Mate</w:t>
            </w:r>
            <w:r>
              <w:rPr>
                <w:rFonts w:ascii="Century Gothic" w:hAnsi="Century Gothic" w:cs="Arial"/>
                <w:sz w:val="16"/>
                <w:szCs w:val="16"/>
              </w:rPr>
              <w:t>-</w:t>
            </w:r>
            <w:r w:rsidRPr="00632F77">
              <w:rPr>
                <w:rFonts w:ascii="Century Gothic" w:hAnsi="Century Gothic" w:cs="Arial"/>
                <w:sz w:val="16"/>
                <w:szCs w:val="16"/>
              </w:rPr>
              <w:t>matika</w:t>
            </w:r>
          </w:p>
        </w:tc>
        <w:tc>
          <w:tcPr>
            <w:tcW w:w="900"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t>3</w:t>
            </w:r>
          </w:p>
        </w:tc>
        <w:tc>
          <w:tcPr>
            <w:tcW w:w="701"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t>1</w:t>
            </w:r>
          </w:p>
        </w:tc>
        <w:tc>
          <w:tcPr>
            <w:tcW w:w="5689" w:type="dxa"/>
          </w:tcPr>
          <w:p w:rsidR="00D94799" w:rsidRPr="00632F77" w:rsidRDefault="00D94799" w:rsidP="00F3643F">
            <w:pPr>
              <w:shd w:val="clear" w:color="auto" w:fill="FFFFFF"/>
              <w:spacing w:after="150"/>
              <w:textAlignment w:val="baseline"/>
              <w:rPr>
                <w:rFonts w:ascii="Century Gothic" w:eastAsia="Times New Roman" w:hAnsi="Century Gothic" w:cs="Arial"/>
                <w:sz w:val="16"/>
                <w:szCs w:val="16"/>
              </w:rPr>
            </w:pPr>
            <w:r w:rsidRPr="00632F77">
              <w:rPr>
                <w:rFonts w:ascii="Century Gothic" w:eastAsia="Times New Roman" w:hAnsi="Century Gothic" w:cs="Arial"/>
                <w:sz w:val="16"/>
                <w:szCs w:val="16"/>
              </w:rPr>
              <w:t>Mata kuliah ini disusun untuk mengembangkan kemampuan berpikir logis serta berpikir kritis. Hal ini dilakukan dengan cara mengupas tentang apa yang dimaksud dengan logika, mencermati kaitan antara logika dan ilmu pengetahuan, keterampilan berpikir yang digunakan dalam berpikir kritis, berbagai metode yang terkait dengan penarikan kesimpulan seperti deduktif dan induktif sampai silogisme dan mewaspadai kesalahan berpikir. Prinsip matematika seperti sistem numerasi dan statistika juga dikupas untuk memperkenalkan tentang strategi penyelesaian masalah, proses bernalar rasio peluang, sampai penggunaan logika dan matematika dalam perkembangan teknologi terkini. Diharapkan mahasiswa UPJ memahami pentingnya pengetahuan matematika bukan karena harus mahir dengan angka dan berbagai formula kuantitatif saja, tetapi karena komunikasi mengajukan ide, pemikiran termasuk kreativitas memerlukan kemampuan menyusun argumentasi berdasarkan logika.</w:t>
            </w:r>
          </w:p>
        </w:tc>
      </w:tr>
      <w:tr w:rsidR="00D94799" w:rsidRPr="00632F77" w:rsidTr="00D94799">
        <w:tc>
          <w:tcPr>
            <w:tcW w:w="558"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t>4</w:t>
            </w:r>
          </w:p>
        </w:tc>
        <w:tc>
          <w:tcPr>
            <w:tcW w:w="990"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t>GNR 102</w:t>
            </w:r>
          </w:p>
        </w:tc>
        <w:tc>
          <w:tcPr>
            <w:tcW w:w="1046"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t>Agama</w:t>
            </w:r>
          </w:p>
        </w:tc>
        <w:tc>
          <w:tcPr>
            <w:tcW w:w="900"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t>2</w:t>
            </w:r>
          </w:p>
        </w:tc>
        <w:tc>
          <w:tcPr>
            <w:tcW w:w="701"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t>2</w:t>
            </w:r>
          </w:p>
        </w:tc>
        <w:tc>
          <w:tcPr>
            <w:tcW w:w="5689" w:type="dxa"/>
          </w:tcPr>
          <w:p w:rsidR="00D94799" w:rsidRPr="00632F77" w:rsidRDefault="00D94799" w:rsidP="00F3643F">
            <w:pPr>
              <w:shd w:val="clear" w:color="auto" w:fill="FFFFFF"/>
              <w:spacing w:after="150"/>
              <w:textAlignment w:val="baseline"/>
              <w:rPr>
                <w:rFonts w:ascii="Century Gothic" w:eastAsia="Times New Roman" w:hAnsi="Century Gothic" w:cs="Arial"/>
                <w:sz w:val="16"/>
                <w:szCs w:val="16"/>
              </w:rPr>
            </w:pPr>
            <w:r w:rsidRPr="00632F77">
              <w:rPr>
                <w:rFonts w:ascii="Century Gothic" w:eastAsia="Times New Roman" w:hAnsi="Century Gothic" w:cs="Arial"/>
                <w:sz w:val="16"/>
                <w:szCs w:val="16"/>
              </w:rPr>
              <w:t xml:space="preserve">Mata kuliah ini diselenggarakan melalui kemitraan dengan Indonesian Conference on Religion and Peace (ICRP) dan diikuti oleh seluruh mahasiswa UPJ tanpa memandang latar belakang agama dan kepercayaannya. Mata kuliah ini mengedepankan muatan tentang </w:t>
            </w:r>
            <w:r w:rsidRPr="00632F77">
              <w:rPr>
                <w:rFonts w:ascii="Century Gothic" w:eastAsia="Times New Roman" w:hAnsi="Century Gothic" w:cs="Arial"/>
                <w:sz w:val="16"/>
                <w:szCs w:val="16"/>
              </w:rPr>
              <w:lastRenderedPageBreak/>
              <w:t>toleransi, keberagaman serta dialog damai lintas agama dan kepercayaan. Materi yang disampaikan antara lain pengalaman keagamaan terkait agama sendiri maupun agama lain, agama dan kepercayaan formal dan non formal sampai diskusi tentang isu-isu relasi antar agama dalam berbagai situasi sosial misalnya pernikahan. Hal ini dilakukan lewat diskusi di dalam kelas, bedah film, ceramah juga ekskursi ke berbagai tempat ibadah di Jakarta serta diskusi dengan tokoh agama. Mata kuliah ini bertujuan agar mahasiswa memahami dan menghayati agama masing-masing dalam konteks Bhinneka Tunggal Ika, merefleksikan bias seperti stereotipi dan prasangka dalam relasi antar agama serta membangun pemahaman empatik terhadap orang lain.</w:t>
            </w:r>
          </w:p>
        </w:tc>
      </w:tr>
      <w:tr w:rsidR="00D94799" w:rsidRPr="00632F77" w:rsidTr="00D94799">
        <w:tc>
          <w:tcPr>
            <w:tcW w:w="558"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lastRenderedPageBreak/>
              <w:t>5</w:t>
            </w:r>
          </w:p>
        </w:tc>
        <w:tc>
          <w:tcPr>
            <w:tcW w:w="990"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t>GNR 104</w:t>
            </w:r>
          </w:p>
        </w:tc>
        <w:tc>
          <w:tcPr>
            <w:tcW w:w="1046"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t>Pancasila dan Kewarga</w:t>
            </w:r>
            <w:r>
              <w:rPr>
                <w:rFonts w:ascii="Century Gothic" w:hAnsi="Century Gothic" w:cs="Arial"/>
                <w:sz w:val="16"/>
                <w:szCs w:val="16"/>
              </w:rPr>
              <w:t>-</w:t>
            </w:r>
            <w:r w:rsidRPr="00632F77">
              <w:rPr>
                <w:rFonts w:ascii="Century Gothic" w:hAnsi="Century Gothic" w:cs="Arial"/>
                <w:sz w:val="16"/>
                <w:szCs w:val="16"/>
              </w:rPr>
              <w:t>negaraan</w:t>
            </w:r>
          </w:p>
        </w:tc>
        <w:tc>
          <w:tcPr>
            <w:tcW w:w="900"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t>2</w:t>
            </w:r>
          </w:p>
        </w:tc>
        <w:tc>
          <w:tcPr>
            <w:tcW w:w="701"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t>2</w:t>
            </w:r>
          </w:p>
        </w:tc>
        <w:tc>
          <w:tcPr>
            <w:tcW w:w="5689" w:type="dxa"/>
          </w:tcPr>
          <w:p w:rsidR="00D94799" w:rsidRPr="00632F77" w:rsidRDefault="00D94799" w:rsidP="00F3643F">
            <w:pPr>
              <w:shd w:val="clear" w:color="auto" w:fill="FFFFFF"/>
              <w:spacing w:after="150"/>
              <w:textAlignment w:val="baseline"/>
              <w:rPr>
                <w:rFonts w:ascii="Century Gothic" w:eastAsia="Times New Roman" w:hAnsi="Century Gothic" w:cs="Arial"/>
                <w:sz w:val="16"/>
                <w:szCs w:val="16"/>
              </w:rPr>
            </w:pPr>
            <w:r w:rsidRPr="00632F77">
              <w:rPr>
                <w:rFonts w:ascii="Century Gothic" w:eastAsia="Times New Roman" w:hAnsi="Century Gothic" w:cs="Arial"/>
                <w:sz w:val="16"/>
                <w:szCs w:val="16"/>
              </w:rPr>
              <w:t>Pendidikan kewarganegaraan mempunyai implikasi besar yakni menumbuhkan kesadaran hak dan kewajiban sebagai warga Negara serta meningkatkan semangat nasionalisme dan patriotisme. Mata kuliah ini membahas mengenai pilar bangsa Indonesia, hak dan kewajiban warganegara, identitas nasional sampai geostrategic demi tercapainya warga Negara yang lebih beradab, jujur, demokratis, dan terdidik. Melalui  mata kuliah ini, mahasiswa dibekali dengan peralatan analisis arti dari menjadi warga Negara, termasuk dari segi proses mamupun keberadaan sebagai warga Negara yang memerlukan tanggung jawab yang diperlihatkan secara berkelanjutan.</w:t>
            </w:r>
          </w:p>
        </w:tc>
      </w:tr>
      <w:tr w:rsidR="00D94799" w:rsidRPr="00632F77" w:rsidTr="00D94799">
        <w:tc>
          <w:tcPr>
            <w:tcW w:w="558"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t>6</w:t>
            </w:r>
          </w:p>
        </w:tc>
        <w:tc>
          <w:tcPr>
            <w:tcW w:w="990"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t>GNR 106</w:t>
            </w:r>
          </w:p>
        </w:tc>
        <w:tc>
          <w:tcPr>
            <w:tcW w:w="1046"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t>Apresiasi Seni</w:t>
            </w:r>
          </w:p>
        </w:tc>
        <w:tc>
          <w:tcPr>
            <w:tcW w:w="900"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t>2</w:t>
            </w:r>
          </w:p>
        </w:tc>
        <w:tc>
          <w:tcPr>
            <w:tcW w:w="701"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t>2</w:t>
            </w:r>
          </w:p>
        </w:tc>
        <w:tc>
          <w:tcPr>
            <w:tcW w:w="5689" w:type="dxa"/>
          </w:tcPr>
          <w:p w:rsidR="00D94799" w:rsidRPr="00632F77" w:rsidRDefault="00D94799" w:rsidP="00F3643F">
            <w:pPr>
              <w:shd w:val="clear" w:color="auto" w:fill="FFFFFF"/>
              <w:textAlignment w:val="baseline"/>
              <w:rPr>
                <w:rFonts w:ascii="Century Gothic" w:eastAsia="Times New Roman" w:hAnsi="Century Gothic" w:cs="Arial"/>
                <w:sz w:val="16"/>
                <w:szCs w:val="16"/>
              </w:rPr>
            </w:pPr>
            <w:r w:rsidRPr="00632F77">
              <w:rPr>
                <w:rFonts w:ascii="Century Gothic" w:eastAsia="Times New Roman" w:hAnsi="Century Gothic" w:cs="Arial"/>
                <w:sz w:val="16"/>
                <w:szCs w:val="16"/>
              </w:rPr>
              <w:t>Apresiasi Seni merupakan pengantar umum sejarah peradaban dan sejarah seni. Dalam mata kuliah ini, mahasiswa akan diajak untuk melihat bagaimana sejarah peradaban manusia melalui artefak-artefaknya serta bagaimana ilmu pengetahuan dan teknologi menghasilkan peradaban dan karya seni sehingga kemudian membentuk wajah jaman dan perilaku manusia hingga kini. Dengan melihat bagaimana artefak kebudyaan ditafsirkan oleh kreativitas dan inovasi para pelaku seni, mahasiswa diajak untuk melihat bagaimana gagasan peradaban manusia tersebut berimplikasi pada keseharian mereka. Dalam mata kuliah ini, mahasiswa diperkenalkan tentang kekayaan jenis-jenis kesenian yang ada, tak hanya seni popular kontemporer dari luar negeri tetapi juga yang berasal dari berbagai sudut Nusantara.</w:t>
            </w:r>
          </w:p>
        </w:tc>
      </w:tr>
      <w:tr w:rsidR="00D94799" w:rsidRPr="00632F77" w:rsidTr="00D94799">
        <w:tc>
          <w:tcPr>
            <w:tcW w:w="558"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t>7</w:t>
            </w:r>
          </w:p>
        </w:tc>
        <w:tc>
          <w:tcPr>
            <w:tcW w:w="990"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t>GNR 201</w:t>
            </w:r>
          </w:p>
        </w:tc>
        <w:tc>
          <w:tcPr>
            <w:tcW w:w="1046"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t>Etika</w:t>
            </w:r>
          </w:p>
        </w:tc>
        <w:tc>
          <w:tcPr>
            <w:tcW w:w="900"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t>2</w:t>
            </w:r>
          </w:p>
        </w:tc>
        <w:tc>
          <w:tcPr>
            <w:tcW w:w="701"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t>3</w:t>
            </w:r>
          </w:p>
        </w:tc>
        <w:tc>
          <w:tcPr>
            <w:tcW w:w="5689" w:type="dxa"/>
          </w:tcPr>
          <w:p w:rsidR="00D94799" w:rsidRPr="00632F77" w:rsidRDefault="00D94799" w:rsidP="00F3643F">
            <w:pPr>
              <w:shd w:val="clear" w:color="auto" w:fill="FFFFFF"/>
              <w:spacing w:after="150"/>
              <w:textAlignment w:val="baseline"/>
              <w:rPr>
                <w:rFonts w:ascii="Century Gothic" w:eastAsia="Times New Roman" w:hAnsi="Century Gothic" w:cs="Arial"/>
                <w:sz w:val="16"/>
                <w:szCs w:val="16"/>
              </w:rPr>
            </w:pPr>
            <w:r w:rsidRPr="00632F77">
              <w:rPr>
                <w:rFonts w:ascii="Century Gothic" w:eastAsia="Times New Roman" w:hAnsi="Century Gothic" w:cs="Arial"/>
                <w:sz w:val="16"/>
                <w:szCs w:val="16"/>
              </w:rPr>
              <w:t>Mata kuliah ini memperkenalkan mahasiswa pada persoalan etika dan peran etika dalam dunia modern, peran budaya dalam berbagai teori etika, makna dari kebebasan dan tanggung jawab, hak dan kewajiban dalam konteks kehidupan bermasyarakat sehari-hari termasuk isu korupsi, bioteknologi, dan isu-isu lain dari media massa, sampai ke konsekuensinya. Mahasiswa juga membahas tentang apa yang dipahami sebagai watak moral, etos serta integritas, termasuk di dalamnya etika akademik. Mahasiswa juga diasah pemahaman dan apresiasi terhadap norma, sistem nilai juga multikulturalisme dan keberagaman. Mahasiswa diharapkan menumbuhkan nilai-nilai moral tentang yang baik dan benar, serta mengetahui bahwa jalan yang benar akan membawa kemenangan yang lestari.</w:t>
            </w:r>
          </w:p>
        </w:tc>
      </w:tr>
      <w:tr w:rsidR="00D94799" w:rsidRPr="00632F77" w:rsidTr="00D94799">
        <w:tc>
          <w:tcPr>
            <w:tcW w:w="558"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t>8</w:t>
            </w:r>
          </w:p>
        </w:tc>
        <w:tc>
          <w:tcPr>
            <w:tcW w:w="990"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t>GNR 203</w:t>
            </w:r>
          </w:p>
        </w:tc>
        <w:tc>
          <w:tcPr>
            <w:tcW w:w="1046"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t>Integrated Social Science</w:t>
            </w:r>
          </w:p>
        </w:tc>
        <w:tc>
          <w:tcPr>
            <w:tcW w:w="900"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t>2</w:t>
            </w:r>
          </w:p>
        </w:tc>
        <w:tc>
          <w:tcPr>
            <w:tcW w:w="701"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t>3</w:t>
            </w:r>
          </w:p>
        </w:tc>
        <w:tc>
          <w:tcPr>
            <w:tcW w:w="5689" w:type="dxa"/>
          </w:tcPr>
          <w:p w:rsidR="00D94799" w:rsidRPr="00632F77" w:rsidRDefault="00D94799" w:rsidP="00F3643F">
            <w:pPr>
              <w:shd w:val="clear" w:color="auto" w:fill="FFFFFF"/>
              <w:spacing w:after="150"/>
              <w:textAlignment w:val="baseline"/>
              <w:rPr>
                <w:rFonts w:ascii="Century Gothic" w:eastAsia="Times New Roman" w:hAnsi="Century Gothic" w:cs="Arial"/>
                <w:sz w:val="16"/>
                <w:szCs w:val="16"/>
              </w:rPr>
            </w:pPr>
            <w:r w:rsidRPr="00632F77">
              <w:rPr>
                <w:rFonts w:ascii="Century Gothic" w:eastAsia="Times New Roman" w:hAnsi="Century Gothic" w:cs="Arial"/>
                <w:sz w:val="16"/>
                <w:szCs w:val="16"/>
              </w:rPr>
              <w:t>Dengan mengikuti mata kuliah ini, mahasiswa diharapkan mendapatkan bekal berupa teori dan prinsi dasar dari ilmu pengetahuan sosial secara terintegrasi, antara lain tentang masyarakat, budaya dan perubahan kultural, geografi, demografi, ekologi, ekonomi, politik serta politik sampai ke stratifikasi sosial juga diskriminasi. Hal ini ditampilkan dalam bentuk diskusi kelompok, presentasi, kajian atas berbagai kasus yang ditemukan melalui media maupun kehidupan keseharian serta penyusunan sosial yang dilakukan secara individu maupun kelompok. Apa yang diperoleh oleh mahasiswa dalam mata kuliah ini dapat diaplikasikan ke berbagai mata kuliah lain, terutama Entrepreneurship I dan II, karena memberikan gambaran secara umum mengenai konteks sosial serta berbagai inisiatif perubahan.</w:t>
            </w:r>
          </w:p>
        </w:tc>
      </w:tr>
      <w:tr w:rsidR="00D94799" w:rsidRPr="00632F77" w:rsidTr="00D94799">
        <w:tc>
          <w:tcPr>
            <w:tcW w:w="558"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lastRenderedPageBreak/>
              <w:t>9</w:t>
            </w:r>
          </w:p>
        </w:tc>
        <w:tc>
          <w:tcPr>
            <w:tcW w:w="990"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t>GNR 205</w:t>
            </w:r>
          </w:p>
        </w:tc>
        <w:tc>
          <w:tcPr>
            <w:tcW w:w="1046"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t>Integrated Natural Science</w:t>
            </w:r>
          </w:p>
        </w:tc>
        <w:tc>
          <w:tcPr>
            <w:tcW w:w="900"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t>2</w:t>
            </w:r>
          </w:p>
        </w:tc>
        <w:tc>
          <w:tcPr>
            <w:tcW w:w="701"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t>3</w:t>
            </w:r>
          </w:p>
        </w:tc>
        <w:tc>
          <w:tcPr>
            <w:tcW w:w="5689" w:type="dxa"/>
          </w:tcPr>
          <w:p w:rsidR="00D94799" w:rsidRPr="00632F77" w:rsidRDefault="00D94799" w:rsidP="00F3643F">
            <w:pPr>
              <w:shd w:val="clear" w:color="auto" w:fill="FFFFFF"/>
              <w:spacing w:after="150"/>
              <w:textAlignment w:val="baseline"/>
              <w:rPr>
                <w:rFonts w:ascii="Century Gothic" w:eastAsia="Times New Roman" w:hAnsi="Century Gothic" w:cs="Arial"/>
                <w:sz w:val="16"/>
                <w:szCs w:val="16"/>
              </w:rPr>
            </w:pPr>
            <w:r w:rsidRPr="00632F77">
              <w:rPr>
                <w:rFonts w:ascii="Century Gothic" w:eastAsia="Times New Roman" w:hAnsi="Century Gothic" w:cs="Arial"/>
                <w:sz w:val="16"/>
                <w:szCs w:val="16"/>
              </w:rPr>
              <w:t xml:space="preserve">Mata kuliah ini memberikan pemahaman kepada mahasiswa tentang ilmu pengetahuan alam secara terintegrasi. Mahasiswa akan melakukan presentasi dan analisis kasus dari kehidupan keseharian berdasarkan teori dan prinsip dasar terkait dengan energi, temperatur, air, ekologi, cuaca, lingkungan hidup dan lain sebagainya. Di akhir mata kuliah ini, mahasiswa diharapkan memiliki bekal keilmuan dan kemampuan analisa yang dapat dibawa ke dalam berbagai mata kuliah antara lain Sustainable Eco Development I. Hal ini ditampilkan dalam bentuk berbagai tugas antara lain diskusi, presentasi, studi kasus dan penyusunan makalah. </w:t>
            </w:r>
          </w:p>
        </w:tc>
      </w:tr>
      <w:tr w:rsidR="00D94799" w:rsidRPr="00632F77" w:rsidTr="00D94799">
        <w:tc>
          <w:tcPr>
            <w:tcW w:w="558"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t>10</w:t>
            </w:r>
          </w:p>
        </w:tc>
        <w:tc>
          <w:tcPr>
            <w:tcW w:w="990"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t>GNR 202</w:t>
            </w:r>
          </w:p>
        </w:tc>
        <w:tc>
          <w:tcPr>
            <w:tcW w:w="1046"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t>Entrepreneurship 1</w:t>
            </w:r>
          </w:p>
        </w:tc>
        <w:tc>
          <w:tcPr>
            <w:tcW w:w="900"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t>2</w:t>
            </w:r>
          </w:p>
        </w:tc>
        <w:tc>
          <w:tcPr>
            <w:tcW w:w="701"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t>4</w:t>
            </w:r>
          </w:p>
        </w:tc>
        <w:tc>
          <w:tcPr>
            <w:tcW w:w="5689" w:type="dxa"/>
          </w:tcPr>
          <w:p w:rsidR="00D94799" w:rsidRPr="00632F77" w:rsidRDefault="00D94799" w:rsidP="00F3643F">
            <w:pPr>
              <w:shd w:val="clear" w:color="auto" w:fill="FFFFFF"/>
              <w:spacing w:after="150"/>
              <w:textAlignment w:val="baseline"/>
              <w:rPr>
                <w:rFonts w:ascii="Century Gothic" w:eastAsia="Times New Roman" w:hAnsi="Century Gothic" w:cs="Arial"/>
                <w:sz w:val="16"/>
                <w:szCs w:val="16"/>
              </w:rPr>
            </w:pPr>
            <w:r w:rsidRPr="00632F77">
              <w:rPr>
                <w:rFonts w:ascii="Century Gothic" w:eastAsia="Times New Roman" w:hAnsi="Century Gothic" w:cs="Arial"/>
                <w:sz w:val="16"/>
                <w:szCs w:val="16"/>
              </w:rPr>
              <w:t>Mata kuliah ini diselenggarakan untuk membangun jiwa kewirausahaan pada mahasiswa UPJ. Mata kuliah ini memperkenalkan tentang kompetensi karakter kewirausahaan mulai dari paradigma, semangat sampai jiwa kewirausahaan. Tak hanya itu, mata kuliah ini juga membekali mahasiswa dengan kompetensi kreativitas dan inovasi termasuk komunikasi yang dibutuhkan untuk menjual produk dan/atau jasa maupun membina relasi. Mahasiswa juga mendapatkan materi tentang kompetensi manajemen usaha dan organisasi. Di akhir pembelajaran, mahasiswa mendapatkan pembekalan tentang Business Model Canvas (BMC) yang dapat membantu mahasiswa menyusun rancangan bisnis (business plan). Mata kuliah ini merupakan implementasi dari pola ilmiah pokok UPJ yaitu Entrepreneurship. Di semester mendatang, setiap mahasiswa melanjutkan ke ENT II yang dikelola di tingkat Prodi, sebagai bentuk pengarusutamaan pola ilmiah pokok dalam kehidupan akademik di UPJ.</w:t>
            </w:r>
          </w:p>
        </w:tc>
      </w:tr>
      <w:tr w:rsidR="00D94799" w:rsidRPr="00632F77" w:rsidTr="00D94799">
        <w:tc>
          <w:tcPr>
            <w:tcW w:w="558"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t>11</w:t>
            </w:r>
          </w:p>
        </w:tc>
        <w:tc>
          <w:tcPr>
            <w:tcW w:w="990"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t>GNR 204</w:t>
            </w:r>
          </w:p>
        </w:tc>
        <w:tc>
          <w:tcPr>
            <w:tcW w:w="1046"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t>Sustainable Eco Development 1</w:t>
            </w:r>
          </w:p>
        </w:tc>
        <w:tc>
          <w:tcPr>
            <w:tcW w:w="900"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t>3</w:t>
            </w:r>
          </w:p>
        </w:tc>
        <w:tc>
          <w:tcPr>
            <w:tcW w:w="701"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t>4</w:t>
            </w:r>
          </w:p>
        </w:tc>
        <w:tc>
          <w:tcPr>
            <w:tcW w:w="5689" w:type="dxa"/>
          </w:tcPr>
          <w:p w:rsidR="00D94799" w:rsidRPr="00632F77" w:rsidRDefault="00D94799" w:rsidP="00F3643F">
            <w:pPr>
              <w:rPr>
                <w:rFonts w:ascii="Century Gothic" w:hAnsi="Century Gothic" w:cs="Arial"/>
                <w:sz w:val="16"/>
                <w:szCs w:val="16"/>
              </w:rPr>
            </w:pPr>
            <w:r w:rsidRPr="00632F77">
              <w:rPr>
                <w:rFonts w:ascii="Century Gothic" w:eastAsia="Times New Roman" w:hAnsi="Century Gothic" w:cs="Arial"/>
                <w:sz w:val="16"/>
                <w:szCs w:val="16"/>
              </w:rPr>
              <w:t>Mata kuliah ini bertujuan untuk memberikan pembekalan kepada mahasiswa tentang perspektif lingkungan hidup dan pembangunan berkelanjutan, sesuai dengan 3E yaitu environment, ecology and equity. Mata kuliah ini memberikan bekal tentang pengetahuan dan kesadaran akan sustainable eco development, perlindungan dan pengelolaan lingkungan hidup, pembangunan berkelanjutan sampai ke green policy. Mata kuliah ini merupakan implementasi dari pola ilmiah pokok UPJ yaitu Sustainable Eco Development (SED). Di semester mendatang, setiap mahasiswa melanjutkan ke Sustainable Eco Development II yang dikelola di tingkat Prodi, sebagai bentuk pengarusutamaan pola ilmiah pokok dalam kehidupan akademik di UPJ</w:t>
            </w:r>
          </w:p>
        </w:tc>
      </w:tr>
      <w:tr w:rsidR="00D94799" w:rsidRPr="00632F77" w:rsidTr="00D94799">
        <w:tc>
          <w:tcPr>
            <w:tcW w:w="558"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t xml:space="preserve">12 </w:t>
            </w:r>
          </w:p>
        </w:tc>
        <w:tc>
          <w:tcPr>
            <w:tcW w:w="990"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t>GNR 301</w:t>
            </w:r>
          </w:p>
        </w:tc>
        <w:tc>
          <w:tcPr>
            <w:tcW w:w="1046"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t>Entrepreneurship 2</w:t>
            </w:r>
          </w:p>
        </w:tc>
        <w:tc>
          <w:tcPr>
            <w:tcW w:w="900"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t>3</w:t>
            </w:r>
          </w:p>
        </w:tc>
        <w:tc>
          <w:tcPr>
            <w:tcW w:w="701" w:type="dxa"/>
          </w:tcPr>
          <w:p w:rsidR="00D94799" w:rsidRPr="00632F77" w:rsidRDefault="00D94799" w:rsidP="00F3643F">
            <w:pPr>
              <w:rPr>
                <w:rFonts w:ascii="Century Gothic" w:hAnsi="Century Gothic" w:cs="Arial"/>
                <w:sz w:val="16"/>
                <w:szCs w:val="16"/>
              </w:rPr>
            </w:pPr>
            <w:r w:rsidRPr="00632F77">
              <w:rPr>
                <w:rFonts w:ascii="Century Gothic" w:hAnsi="Century Gothic" w:cs="Arial"/>
                <w:sz w:val="16"/>
                <w:szCs w:val="16"/>
              </w:rPr>
              <w:t>5</w:t>
            </w:r>
          </w:p>
        </w:tc>
        <w:tc>
          <w:tcPr>
            <w:tcW w:w="5689" w:type="dxa"/>
          </w:tcPr>
          <w:p w:rsidR="00D94799" w:rsidRPr="00632F77" w:rsidRDefault="00D94799" w:rsidP="00F3643F">
            <w:pPr>
              <w:shd w:val="clear" w:color="auto" w:fill="FFFFFF"/>
              <w:spacing w:after="150"/>
              <w:textAlignment w:val="baseline"/>
              <w:rPr>
                <w:rFonts w:ascii="Century Gothic" w:eastAsia="Times New Roman" w:hAnsi="Century Gothic" w:cs="Arial"/>
                <w:sz w:val="16"/>
                <w:szCs w:val="16"/>
              </w:rPr>
            </w:pPr>
            <w:r w:rsidRPr="00632F77">
              <w:rPr>
                <w:rFonts w:ascii="Century Gothic" w:eastAsia="Times New Roman" w:hAnsi="Century Gothic" w:cs="Arial"/>
                <w:sz w:val="16"/>
                <w:szCs w:val="16"/>
              </w:rPr>
              <w:t>Mata kuliah ini merupakan kelanjutan dari Entrepreneurship I, dimana mahasiswa mendapatkan kesempatan untuk melakukan aplikasi dan penerapan dari apa yang telah mereka dapatkan sebelumnya. Pola pembelajaran berupa pengambilan data ke lapangan, uji coba, eksperimentasi dan penyusunan prototipe. Kompetensi mahasiswa diasah melakukan pengalaman-pengalaman langsung terkait hal-hal seperti inovasi, kreativitas, pembangunan jejaring, pemahaman tentang kebutuhan masyarakat, berbagai inisiatif demi mendapatkan nilai tambah (</w:t>
            </w:r>
            <w:r w:rsidRPr="00632F77">
              <w:rPr>
                <w:rFonts w:ascii="Century Gothic" w:eastAsia="Times New Roman" w:hAnsi="Century Gothic" w:cs="Arial"/>
                <w:i/>
                <w:sz w:val="16"/>
                <w:szCs w:val="16"/>
              </w:rPr>
              <w:t>added value</w:t>
            </w:r>
            <w:r w:rsidRPr="00632F77">
              <w:rPr>
                <w:rFonts w:ascii="Century Gothic" w:eastAsia="Times New Roman" w:hAnsi="Century Gothic" w:cs="Arial"/>
                <w:sz w:val="16"/>
                <w:szCs w:val="16"/>
              </w:rPr>
              <w:t>) dan lain sebagainya. Hasil-hasil pembelajaran dari mata kuliah ini kemudian dipertajam ke dalam Entrepreneurship II.</w:t>
            </w:r>
          </w:p>
        </w:tc>
      </w:tr>
    </w:tbl>
    <w:p w:rsidR="0041772B" w:rsidRDefault="003D7333"/>
    <w:sectPr w:rsidR="004177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799"/>
    <w:rsid w:val="003D7333"/>
    <w:rsid w:val="00576A19"/>
    <w:rsid w:val="006C13B1"/>
    <w:rsid w:val="00810D48"/>
    <w:rsid w:val="009476D4"/>
    <w:rsid w:val="00D94799"/>
    <w:rsid w:val="00E07FF3"/>
    <w:rsid w:val="00EB3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7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47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7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47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1594</Words>
  <Characters>9091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MarketingFH</cp:lastModifiedBy>
  <cp:revision>2</cp:revision>
  <dcterms:created xsi:type="dcterms:W3CDTF">2017-08-29T09:02:00Z</dcterms:created>
  <dcterms:modified xsi:type="dcterms:W3CDTF">2017-08-29T09:02:00Z</dcterms:modified>
</cp:coreProperties>
</file>